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ED518" w14:textId="77777777" w:rsidR="005626CC" w:rsidRDefault="005626CC" w:rsidP="005626C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23"/>
          <w:szCs w:val="23"/>
          <w:lang w:eastAsia="de-DE"/>
          <w14:ligatures w14:val="none"/>
        </w:rPr>
      </w:pPr>
    </w:p>
    <w:p w14:paraId="000C68D9" w14:textId="04868334" w:rsidR="005626CC" w:rsidRDefault="005626CC" w:rsidP="005626C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>
        <w:rPr>
          <w:noProof/>
        </w:rPr>
        <w:drawing>
          <wp:inline distT="0" distB="0" distL="0" distR="0" wp14:anchorId="199E82B5" wp14:editId="1A7ED71B">
            <wp:extent cx="5760720" cy="1137920"/>
            <wp:effectExtent l="0" t="0" r="0" b="5080"/>
            <wp:docPr id="177280685" name="Immagine 1" descr="Immagine che contiene testo, Carattere, schermata, bianc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80685" name="Immagine 1" descr="Immagine che contiene testo, Carattere, schermata, bianc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55D8" w14:textId="5D594105" w:rsidR="00A3218A" w:rsidRPr="00A3218A" w:rsidRDefault="00A3218A" w:rsidP="005626C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48"/>
          <w:szCs w:val="48"/>
          <w:lang w:eastAsia="de-DE"/>
          <w14:ligatures w14:val="none"/>
        </w:rPr>
      </w:pP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ab/>
      </w:r>
      <w:r w:rsidRPr="00A3218A">
        <w:rPr>
          <w:rFonts w:ascii="Helvetica" w:eastAsia="Times New Roman" w:hAnsi="Helvetica" w:cs="Helvetica"/>
          <w:b/>
          <w:bCs/>
          <w:color w:val="000000"/>
          <w:kern w:val="0"/>
          <w:sz w:val="48"/>
          <w:szCs w:val="48"/>
          <w:lang w:eastAsia="de-DE"/>
          <w14:ligatures w14:val="none"/>
        </w:rPr>
        <w:t>INFO</w:t>
      </w:r>
    </w:p>
    <w:p w14:paraId="24676AFD" w14:textId="77777777" w:rsidR="00A3218A" w:rsidRDefault="00A3218A" w:rsidP="005626C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</w:p>
    <w:p w14:paraId="1F2F60D8" w14:textId="3708B2FC" w:rsidR="005626CC" w:rsidRPr="005626CC" w:rsidRDefault="005626CC" w:rsidP="005626CC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MASSNAHMEN ZUM INFLATIONSAUSGLEICH </w:t>
      </w:r>
      <w:r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2022-2024</w:t>
      </w:r>
    </w:p>
    <w:p w14:paraId="5B4701C1" w14:textId="1704065A" w:rsidR="005626CC" w:rsidRPr="005626CC" w:rsidRDefault="005626CC" w:rsidP="00A3218A">
      <w:pPr>
        <w:shd w:val="clear" w:color="auto" w:fill="FFFFFF"/>
        <w:spacing w:after="30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UND STRUKTURELLE ANPASSUNG DER GEHÄLTER 2025</w:t>
      </w:r>
    </w:p>
    <w:p w14:paraId="01BCC074" w14:textId="77777777" w:rsidR="005626CC" w:rsidRPr="005626CC" w:rsidRDefault="005626CC" w:rsidP="00A3218A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Eine einmalige Zahlung (Inflationsanpassung) für das Jahr 2022,</w:t>
      </w:r>
    </w:p>
    <w:p w14:paraId="412FE5F3" w14:textId="77777777" w:rsidR="005626CC" w:rsidRPr="005626CC" w:rsidRDefault="005626CC" w:rsidP="00A3218A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Eine Vorschusszahlung für den Zeitraum 2022-2024, die im November 2023 in Kraft getreten ist und bereits ausgezahlt wurde,</w:t>
      </w:r>
    </w:p>
    <w:p w14:paraId="659583E1" w14:textId="77777777" w:rsidR="005626CC" w:rsidRPr="005626CC" w:rsidRDefault="005626CC" w:rsidP="00A3218A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Eine weitere Inflationsanpassung für den Zeitraum 2022-2024, die im Dezember 2024 unterzeichnet und im Februar 2025 ausgezahlt wurde,</w:t>
      </w:r>
    </w:p>
    <w:p w14:paraId="33F12F19" w14:textId="185C7412" w:rsidR="005626CC" w:rsidRPr="005626CC" w:rsidRDefault="005626CC" w:rsidP="00A3218A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Eine letzte Inflationsanpassung, die im Juni 2025 vorunterzeichnet wurde und voraussichtlich im Herbst 2025</w:t>
      </w:r>
      <w:r w:rsidR="00A3218A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 (September)</w:t>
      </w: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 ausgezahlt wird,</w:t>
      </w:r>
    </w:p>
    <w:p w14:paraId="092B2F01" w14:textId="43B1513E" w:rsidR="005626CC" w:rsidRPr="00A3218A" w:rsidRDefault="005626CC" w:rsidP="00A3218A">
      <w:pPr>
        <w:numPr>
          <w:ilvl w:val="0"/>
          <w:numId w:val="1"/>
        </w:numPr>
        <w:spacing w:after="0" w:line="240" w:lineRule="auto"/>
        <w:ind w:left="1284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  <w:r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Und schließlich eine strukturelle Inflationsanpassung der Gehälter für den Zeitraum 2022-2024, die Ende Juli 2025 vorunterzeichnet werden soll, mit einer rückwirkenden Auszahlung ab dem 1.1.2025 und einer dauerhaften Gehaltsanpassung im </w:t>
      </w:r>
      <w:r w:rsidR="00A3218A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Herbst </w:t>
      </w:r>
      <w:r w:rsidR="00A3218A" w:rsidRPr="005626CC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>2025</w:t>
      </w:r>
      <w:r w:rsidR="00A3218A"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  <w:t xml:space="preserve"> </w:t>
      </w:r>
    </w:p>
    <w:p w14:paraId="42912B65" w14:textId="77777777" w:rsidR="005626CC" w:rsidRPr="005626CC" w:rsidRDefault="005626CC" w:rsidP="005626CC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000000"/>
          <w:kern w:val="0"/>
          <w:sz w:val="23"/>
          <w:szCs w:val="23"/>
          <w:lang w:eastAsia="de-DE"/>
          <w14:ligatures w14:val="none"/>
        </w:rPr>
      </w:pPr>
    </w:p>
    <w:p w14:paraId="4ACA45C3" w14:textId="77777777" w:rsidR="005626CC" w:rsidRPr="005626CC" w:rsidRDefault="005626CC" w:rsidP="005626CC">
      <w:pPr>
        <w:shd w:val="clear" w:color="auto" w:fill="FAFAFA"/>
        <w:spacing w:before="120" w:after="60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Misure per l'adeguamento all'inflazione 2022-2024 e adeguamento strutturale degli stipendi 2025</w:t>
      </w:r>
    </w:p>
    <w:p w14:paraId="4CE31598" w14:textId="77777777" w:rsidR="005626CC" w:rsidRPr="005626CC" w:rsidRDefault="005626CC" w:rsidP="005626C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Un pagamento una tantum (adeguamento all'inflazione) per l'anno 2022,</w:t>
      </w:r>
    </w:p>
    <w:p w14:paraId="3EC03432" w14:textId="77777777" w:rsidR="005626CC" w:rsidRPr="005626CC" w:rsidRDefault="005626CC" w:rsidP="005626C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Un pagamento anticipato per il periodo 2022-2024, entrato in vigore a novembre 2023 e già erogato,</w:t>
      </w:r>
    </w:p>
    <w:p w14:paraId="6E9F430B" w14:textId="77777777" w:rsidR="005626CC" w:rsidRPr="005626CC" w:rsidRDefault="005626CC" w:rsidP="005626C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Un ulteriore adeguamento all'inflazione per il periodo 2022-2024, firmato a dicembre 2024 ed erogato a febbraio 2025,</w:t>
      </w:r>
    </w:p>
    <w:p w14:paraId="6EDBF7E0" w14:textId="653A9A12" w:rsidR="005626CC" w:rsidRPr="005626CC" w:rsidRDefault="005626CC" w:rsidP="005626CC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 xml:space="preserve">Un ultimo adeguamento all'inflazione, </w:t>
      </w:r>
      <w:proofErr w:type="spellStart"/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pre</w:t>
      </w:r>
      <w:proofErr w:type="spellEnd"/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-firmato a giugno 2025 e previsto per l'erogazione nell'autunno 2025</w:t>
      </w:r>
      <w:r w:rsidR="00A3218A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 xml:space="preserve"> (settembre),</w:t>
      </w:r>
    </w:p>
    <w:p w14:paraId="5F14D82D" w14:textId="7E276D3A" w:rsidR="00A3218A" w:rsidRPr="00A3218A" w:rsidRDefault="005626CC" w:rsidP="00A3218A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</w:pPr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 xml:space="preserve">Infine, un adeguamento strutturale degli stipendi per il periodo 2022-2024, che sarà </w:t>
      </w:r>
      <w:proofErr w:type="spellStart"/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pre</w:t>
      </w:r>
      <w:proofErr w:type="spellEnd"/>
      <w:r w:rsidRPr="005626CC">
        <w:rPr>
          <w:rFonts w:ascii="Segoe UI" w:eastAsia="Times New Roman" w:hAnsi="Segoe UI" w:cs="Segoe UI"/>
          <w:b/>
          <w:bCs/>
          <w:color w:val="424242"/>
          <w:kern w:val="0"/>
          <w:sz w:val="24"/>
          <w:szCs w:val="24"/>
          <w:lang w:val="it-IT" w:eastAsia="de-DE"/>
          <w14:ligatures w14:val="none"/>
        </w:rPr>
        <w:t>-firmato a fine luglio 2025, con un pagamento retroattivo dal 1.1.2025 e un adeguamento permanente degli stipendi nell'autunno 2025.</w:t>
      </w:r>
    </w:p>
    <w:sectPr w:rsidR="00A3218A" w:rsidRPr="00A32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111DA"/>
    <w:multiLevelType w:val="multilevel"/>
    <w:tmpl w:val="14100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27043A"/>
    <w:multiLevelType w:val="multilevel"/>
    <w:tmpl w:val="82ECF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3989508">
    <w:abstractNumId w:val="0"/>
  </w:num>
  <w:num w:numId="2" w16cid:durableId="1027676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CC"/>
    <w:rsid w:val="00246859"/>
    <w:rsid w:val="005626CC"/>
    <w:rsid w:val="005B3178"/>
    <w:rsid w:val="00A3218A"/>
    <w:rsid w:val="00B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816E"/>
  <w15:chartTrackingRefBased/>
  <w15:docId w15:val="{8FE32348-2B90-4B7F-8ED1-1D79260F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626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62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26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626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26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626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626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626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626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26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626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26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626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26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626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626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626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626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626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62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626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626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62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626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626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626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62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626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626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 Sindacato - Gewerkschaft</dc:creator>
  <cp:keywords/>
  <dc:description/>
  <cp:lastModifiedBy>GS Sindacato - Gewerkschaft</cp:lastModifiedBy>
  <cp:revision>3</cp:revision>
  <dcterms:created xsi:type="dcterms:W3CDTF">2025-07-10T09:25:00Z</dcterms:created>
  <dcterms:modified xsi:type="dcterms:W3CDTF">2025-07-10T09:37:00Z</dcterms:modified>
</cp:coreProperties>
</file>